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様式第六（第５条関係）</w:t>
      </w:r>
    </w:p>
    <w:p>
      <w:pPr>
        <w:pStyle w:val="0"/>
        <w:rPr>
          <w:rFonts w:hint="default"/>
        </w:rPr>
      </w:pPr>
      <w:bookmarkStart w:id="0" w:name="_GoBack"/>
      <w:bookmarkEnd w:id="0"/>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令和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吉岡町長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５条第４項の規定に基づき、別紙の設備等のうち先端設備等導入計画の変更により追加したものについては、同規則第１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＜様式第五（第５条関係）別紙＞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highlight w:val="none"/>
              </w:rPr>
            </w:pPr>
            <w:r>
              <w:rPr>
                <w:rFonts w:hint="eastAsia"/>
                <w:highlight w:val="none"/>
              </w:rPr>
              <w:t>１</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r>
        <w:trPr/>
        <w:tc>
          <w:tcPr>
            <w:tcW w:w="220" w:type="pct"/>
            <w:vAlign w:val="top"/>
          </w:tcPr>
          <w:p>
            <w:pPr>
              <w:pStyle w:val="0"/>
              <w:rPr>
                <w:rFonts w:hint="default"/>
                <w:highlight w:val="none"/>
              </w:rPr>
            </w:pPr>
            <w:r>
              <w:rPr>
                <w:rFonts w:hint="eastAsia"/>
                <w:highlight w:val="none"/>
              </w:rPr>
              <w:t>２</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r>
        <w:trPr/>
        <w:tc>
          <w:tcPr>
            <w:tcW w:w="220" w:type="pct"/>
            <w:vAlign w:val="top"/>
          </w:tcPr>
          <w:p>
            <w:pPr>
              <w:pStyle w:val="0"/>
              <w:rPr>
                <w:rFonts w:hint="default"/>
                <w:highlight w:val="none"/>
              </w:rPr>
            </w:pPr>
            <w:r>
              <w:rPr>
                <w:rFonts w:hint="eastAsia"/>
                <w:highlight w:val="none"/>
              </w:rPr>
              <w:t>３</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r>
        <w:trPr/>
        <w:tc>
          <w:tcPr>
            <w:tcW w:w="220" w:type="pct"/>
            <w:vAlign w:val="top"/>
          </w:tcPr>
          <w:p>
            <w:pPr>
              <w:pStyle w:val="0"/>
              <w:rPr>
                <w:rFonts w:hint="default"/>
                <w:highlight w:val="none"/>
              </w:rPr>
            </w:pPr>
            <w:r>
              <w:rPr>
                <w:rFonts w:hint="eastAsia"/>
                <w:highlight w:val="none"/>
              </w:rPr>
              <w:t>４</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r>
        <w:trPr/>
        <w:tc>
          <w:tcPr>
            <w:tcW w:w="220" w:type="pct"/>
            <w:vAlign w:val="top"/>
          </w:tcPr>
          <w:p>
            <w:pPr>
              <w:pStyle w:val="0"/>
              <w:rPr>
                <w:rFonts w:hint="default"/>
                <w:highlight w:val="none"/>
              </w:rPr>
            </w:pPr>
            <w:r>
              <w:rPr>
                <w:rFonts w:hint="eastAsia"/>
                <w:highlight w:val="none"/>
              </w:rPr>
              <w:t>５</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bl>
    <w:p>
      <w:pPr>
        <w:pStyle w:val="0"/>
        <w:rPr>
          <w:rFonts w:hint="default"/>
          <w:highlight w:val="none"/>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4531" w:type="dxa"/>
            <w:gridSpan w:val="2"/>
            <w:vAlign w:val="top"/>
          </w:tcPr>
          <w:p>
            <w:pPr>
              <w:pStyle w:val="0"/>
              <w:jc w:val="center"/>
              <w:rPr>
                <w:rFonts w:hint="default"/>
                <w:highlight w:val="none"/>
              </w:rPr>
            </w:pPr>
            <w:r>
              <w:rPr>
                <w:rFonts w:hint="eastAsia"/>
                <w:highlight w:val="none"/>
              </w:rPr>
              <w:t>合計</w:t>
            </w: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ind w:firstLine="210" w:firstLineChars="100"/>
        <w:rPr>
          <w:rFonts w:hint="default" w:ascii="ＭＳ 明朝" w:hAnsi="ＭＳ 明朝"/>
          <w:sz w:val="21"/>
        </w:rPr>
      </w:pPr>
      <w:r>
        <w:rPr>
          <w:rFonts w:hint="eastAsia" w:ascii="ＭＳ 明朝" w:hAnsi="ＭＳ 明朝"/>
          <w:sz w:val="21"/>
        </w:rPr>
        <w:t>２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３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