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様式第四の二（第４条関係）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４項の規定に基づき、別紙の設備等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6267" w:type="dxa"/>
            <w:gridSpan w:val="3"/>
            <w:vAlign w:val="top"/>
          </w:tcPr>
          <w:p>
            <w:pPr>
              <w:pStyle w:val="0"/>
              <w:jc w:val="center"/>
              <w:rPr>
                <w:rFonts w:hint="default"/>
                <w:highlight w:val="none"/>
              </w:rPr>
            </w:pPr>
            <w:r>
              <w:rPr>
                <w:rFonts w:hint="eastAsia"/>
                <w:highlight w:val="none"/>
              </w:rPr>
              <w:t>合計</w:t>
            </w:r>
          </w:p>
        </w:tc>
        <w:tc>
          <w:tcPr>
            <w:tcW w:w="3685"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bookmarkStart w:id="0" w:name="_GoBack"/>
      <w:bookmarkEnd w:id="0"/>
      <w:r>
        <w:rPr>
          <w:rFonts w:hint="eastAsia" w:ascii="ＭＳ 明朝" w:hAnsi="ＭＳ 明朝"/>
          <w:sz w:val="21"/>
        </w:rPr>
        <w:t>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